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C178" w14:textId="38B80505" w:rsidR="006665AD" w:rsidRDefault="00E35FFF">
      <w:r>
        <w:rPr>
          <w:noProof/>
        </w:rPr>
        <w:drawing>
          <wp:anchor distT="0" distB="0" distL="114300" distR="114300" simplePos="0" relativeHeight="251658240" behindDoc="1" locked="0" layoutInCell="1" allowOverlap="1" wp14:anchorId="50C19B0A" wp14:editId="29BE678D">
            <wp:simplePos x="0" y="0"/>
            <wp:positionH relativeFrom="column">
              <wp:posOffset>171450</wp:posOffset>
            </wp:positionH>
            <wp:positionV relativeFrom="paragraph">
              <wp:posOffset>-4445</wp:posOffset>
            </wp:positionV>
            <wp:extent cx="5419725" cy="1837994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837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3B174" w14:textId="77777777" w:rsidR="001344AA" w:rsidRDefault="001344AA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32C6FA34" w14:textId="77777777" w:rsidR="001344AA" w:rsidRDefault="001344AA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4A8AEF9A" w14:textId="77777777" w:rsidR="001344AA" w:rsidRDefault="001344AA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69F320C3" w14:textId="5B51C62F" w:rsidR="00E35FFF" w:rsidRPr="00504A9D" w:rsidRDefault="001344AA" w:rsidP="00E35FFF">
      <w:pPr>
        <w:pStyle w:val="Subtitle"/>
        <w:jc w:val="center"/>
        <w:rPr>
          <w:rStyle w:val="Bold"/>
          <w:rFonts w:ascii="Avenir Next LT Pro" w:hAnsi="Avenir Next LT Pro"/>
          <w:b/>
          <w:bCs/>
          <w:color w:val="7B7B7B" w:themeColor="accent3" w:themeShade="B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AC7EE0" wp14:editId="4FC8ED07">
            <wp:simplePos x="0" y="0"/>
            <wp:positionH relativeFrom="column">
              <wp:posOffset>-180975</wp:posOffset>
            </wp:positionH>
            <wp:positionV relativeFrom="paragraph">
              <wp:posOffset>2382046</wp:posOffset>
            </wp:positionV>
            <wp:extent cx="6125537" cy="3009900"/>
            <wp:effectExtent l="0" t="0" r="8890" b="0"/>
            <wp:wrapNone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537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FFF">
        <w:rPr>
          <w:rFonts w:ascii="Avenir Next LT Pro" w:hAnsi="Avenir Next LT Pro"/>
          <w:color w:val="7B7B7B" w:themeColor="accent3" w:themeShade="BF"/>
        </w:rPr>
        <w:t>University Faculties</w:t>
      </w:r>
      <w:r w:rsidR="00E35FFF" w:rsidRPr="00504A9D">
        <w:rPr>
          <w:rFonts w:ascii="Avenir Next LT Pro" w:hAnsi="Avenir Next LT Pro"/>
          <w:color w:val="7B7B7B" w:themeColor="accent3" w:themeShade="BF"/>
        </w:rPr>
        <w:t xml:space="preserve"> Database</w:t>
      </w:r>
    </w:p>
    <w:tbl>
      <w:tblPr>
        <w:tblStyle w:val="TableGrid"/>
        <w:tblW w:w="10896" w:type="dxa"/>
        <w:tblInd w:w="-993" w:type="dxa"/>
        <w:tblLook w:val="04A0" w:firstRow="1" w:lastRow="0" w:firstColumn="1" w:lastColumn="0" w:noHBand="0" w:noVBand="1"/>
      </w:tblPr>
      <w:tblGrid>
        <w:gridCol w:w="11076"/>
      </w:tblGrid>
      <w:tr w:rsidR="00E35FFF" w14:paraId="277C9B68" w14:textId="77777777" w:rsidTr="006665AD">
        <w:tc>
          <w:tcPr>
            <w:tcW w:w="10896" w:type="dxa"/>
            <w:tcBorders>
              <w:top w:val="nil"/>
              <w:left w:val="nil"/>
              <w:bottom w:val="nil"/>
              <w:right w:val="nil"/>
            </w:tcBorders>
          </w:tcPr>
          <w:p w14:paraId="05A17339" w14:textId="77777777" w:rsidR="00E35FFF" w:rsidRDefault="00E35FFF"/>
          <w:p w14:paraId="7D194715" w14:textId="12F1CDC7" w:rsidR="00E35FFF" w:rsidRDefault="00E35FFF" w:rsidP="00E35FFF">
            <w:pPr>
              <w:ind w:left="-971" w:firstLine="971"/>
            </w:pPr>
            <w:r>
              <w:rPr>
                <w:noProof/>
              </w:rPr>
              <w:drawing>
                <wp:inline distT="0" distB="0" distL="0" distR="0" wp14:anchorId="36BAEBE9" wp14:editId="3F57AFE6">
                  <wp:extent cx="6870700" cy="1506855"/>
                  <wp:effectExtent l="0" t="0" r="25400" b="17145"/>
                  <wp:docPr id="15" name="Diagram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B4A59F-E3ED-4CF8-B48E-0C04807E84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25798836" w14:textId="3DC39EAD" w:rsidR="00E35FFF" w:rsidRDefault="00E35FFF" w:rsidP="00E35FFF">
            <w:pPr>
              <w:tabs>
                <w:tab w:val="left" w:pos="7080"/>
              </w:tabs>
            </w:pPr>
            <w:r>
              <w:tab/>
            </w:r>
          </w:p>
        </w:tc>
      </w:tr>
    </w:tbl>
    <w:p w14:paraId="43483C9B" w14:textId="529C901F" w:rsidR="00E35FFF" w:rsidRDefault="00E35FFF"/>
    <w:p w14:paraId="590E6586" w14:textId="77777777" w:rsidR="00490A3D" w:rsidRDefault="00490A3D"/>
    <w:p w14:paraId="0123BEE6" w14:textId="79222FF5" w:rsidR="001344AA" w:rsidRDefault="001344AA" w:rsidP="001344AA">
      <w:pPr>
        <w:pStyle w:val="Subtitle"/>
        <w:tabs>
          <w:tab w:val="left" w:pos="7140"/>
        </w:tabs>
        <w:rPr>
          <w:rFonts w:ascii="Avenir Next LT Pro" w:hAnsi="Avenir Next LT Pro"/>
          <w:color w:val="7B7B7B" w:themeColor="accent3" w:themeShade="BF"/>
        </w:rPr>
      </w:pPr>
      <w:r>
        <w:rPr>
          <w:rFonts w:ascii="Avenir Next LT Pro" w:hAnsi="Avenir Next LT Pro"/>
          <w:color w:val="7B7B7B" w:themeColor="accent3" w:themeShade="BF"/>
        </w:rPr>
        <w:tab/>
      </w:r>
    </w:p>
    <w:p w14:paraId="078C7EB4" w14:textId="77777777" w:rsidR="001344AA" w:rsidRDefault="001344AA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022CFA94" w14:textId="77777777" w:rsidR="001344AA" w:rsidRDefault="001344AA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12DC50C8" w14:textId="77777777" w:rsidR="001344AA" w:rsidRDefault="001344AA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7461BED1" w14:textId="77777777" w:rsidR="001344AA" w:rsidRDefault="001344AA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</w:p>
    <w:p w14:paraId="03F55CC6" w14:textId="72055846" w:rsidR="00E35FFF" w:rsidRDefault="00E35FFF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</w:rPr>
      </w:pPr>
      <w:r>
        <w:rPr>
          <w:rFonts w:ascii="Avenir Next LT Pro" w:hAnsi="Avenir Next LT Pro"/>
          <w:color w:val="7B7B7B" w:themeColor="accent3" w:themeShade="BF"/>
        </w:rPr>
        <w:t>Going Global in a Generation</w:t>
      </w:r>
    </w:p>
    <w:p w14:paraId="521861DA" w14:textId="77777777" w:rsidR="00081551" w:rsidRPr="0042130B" w:rsidRDefault="00081551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  <w:sz w:val="20"/>
          <w:szCs w:val="20"/>
        </w:rPr>
      </w:pPr>
    </w:p>
    <w:p w14:paraId="1B4A10EA" w14:textId="706A78FF" w:rsidR="00E35FFF" w:rsidRDefault="00E35FFF" w:rsidP="00490A3D">
      <w:pPr>
        <w:pStyle w:val="Subtitle"/>
        <w:tabs>
          <w:tab w:val="left" w:pos="0"/>
        </w:tabs>
        <w:ind w:hanging="851"/>
        <w:jc w:val="center"/>
        <w:rPr>
          <w:rFonts w:ascii="Avenir Next LT Pro" w:hAnsi="Avenir Next LT Pro"/>
          <w:color w:val="7B7B7B" w:themeColor="accent3" w:themeShade="BF"/>
        </w:rPr>
      </w:pPr>
      <w:r>
        <w:rPr>
          <w:noProof/>
        </w:rPr>
        <w:drawing>
          <wp:inline distT="0" distB="0" distL="0" distR="0" wp14:anchorId="1EC45C7F" wp14:editId="7D56CF6A">
            <wp:extent cx="7029450" cy="1325245"/>
            <wp:effectExtent l="0" t="0" r="19050" b="27305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7B4A59F-E3ED-4CF8-B48E-0C04807E84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FB0BF7B" w14:textId="1CE314D6" w:rsidR="006665AD" w:rsidRPr="00490A3D" w:rsidRDefault="007A114B" w:rsidP="00E35FFF">
      <w:pPr>
        <w:pStyle w:val="Subtitle"/>
        <w:jc w:val="center"/>
        <w:rPr>
          <w:rFonts w:ascii="Avenir Next LT Pro" w:hAnsi="Avenir Next LT Pro"/>
          <w:color w:val="7B7B7B" w:themeColor="accent3" w:themeShade="BF"/>
          <w:sz w:val="36"/>
          <w:szCs w:val="36"/>
        </w:rPr>
      </w:pPr>
      <w:hyperlink r:id="rId18" w:history="1">
        <w:r w:rsidR="006665AD" w:rsidRPr="00490A3D">
          <w:rPr>
            <w:rStyle w:val="Hyperlink"/>
            <w:rFonts w:ascii="Avenir Next LT Pro" w:hAnsi="Avenir Next LT Pro"/>
            <w:color w:val="034990" w:themeColor="hyperlink" w:themeShade="BF"/>
            <w:sz w:val="36"/>
            <w:szCs w:val="36"/>
          </w:rPr>
          <w:t>www.theglobalnowproject.com</w:t>
        </w:r>
      </w:hyperlink>
    </w:p>
    <w:p w14:paraId="62E89F71" w14:textId="294149CC" w:rsidR="00E35FFF" w:rsidRPr="00490A3D" w:rsidRDefault="006665AD" w:rsidP="006665AD">
      <w:pPr>
        <w:pStyle w:val="Subtitle"/>
        <w:jc w:val="center"/>
        <w:rPr>
          <w:rFonts w:ascii="Avenir Next LT Pro" w:hAnsi="Avenir Next LT Pro"/>
          <w:b w:val="0"/>
          <w:bCs w:val="0"/>
          <w:i/>
          <w:iCs/>
          <w:color w:val="7B7B7B" w:themeColor="accent3" w:themeShade="BF"/>
          <w:sz w:val="28"/>
          <w:szCs w:val="28"/>
        </w:rPr>
      </w:pPr>
      <w:r w:rsidRPr="00490A3D">
        <w:rPr>
          <w:rFonts w:ascii="Avenir Next LT Pro" w:hAnsi="Avenir Next LT Pro"/>
          <w:b w:val="0"/>
          <w:bCs w:val="0"/>
          <w:i/>
          <w:iCs/>
          <w:color w:val="7B7B7B" w:themeColor="accent3" w:themeShade="BF"/>
          <w:sz w:val="28"/>
          <w:szCs w:val="28"/>
        </w:rPr>
        <w:t>info@theglobalnowproject.com</w:t>
      </w:r>
    </w:p>
    <w:sectPr w:rsidR="00E35FFF" w:rsidRPr="00490A3D" w:rsidSect="006665AD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B2D0E"/>
    <w:multiLevelType w:val="hybridMultilevel"/>
    <w:tmpl w:val="46C8BB4C"/>
    <w:lvl w:ilvl="0" w:tplc="09A2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C24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A7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BC8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BE5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64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49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63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547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F"/>
    <w:rsid w:val="00026E9C"/>
    <w:rsid w:val="00081551"/>
    <w:rsid w:val="001344AA"/>
    <w:rsid w:val="00226FEF"/>
    <w:rsid w:val="0032429D"/>
    <w:rsid w:val="0042130B"/>
    <w:rsid w:val="00490A3D"/>
    <w:rsid w:val="006665AD"/>
    <w:rsid w:val="007A114B"/>
    <w:rsid w:val="00A35E9C"/>
    <w:rsid w:val="00BF4CF7"/>
    <w:rsid w:val="00C358F3"/>
    <w:rsid w:val="00E35FFF"/>
    <w:rsid w:val="00F0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65CF"/>
  <w15:chartTrackingRefBased/>
  <w15:docId w15:val="{D82AE796-A305-445E-9A00-D7B1F35B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3"/>
    <w:qFormat/>
    <w:rsid w:val="00E35FFF"/>
    <w:pPr>
      <w:numPr>
        <w:ilvl w:val="1"/>
      </w:numPr>
      <w:spacing w:before="200" w:after="0" w:line="300" w:lineRule="auto"/>
      <w:contextualSpacing/>
    </w:pPr>
    <w:rPr>
      <w:rFonts w:eastAsiaTheme="minorEastAsia"/>
      <w:b/>
      <w:bCs/>
      <w:color w:val="1F3864" w:themeColor="accent1" w:themeShade="80"/>
      <w:sz w:val="56"/>
      <w:szCs w:val="56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E35FFF"/>
    <w:rPr>
      <w:rFonts w:eastAsiaTheme="minorEastAsia"/>
      <w:b/>
      <w:bCs/>
      <w:color w:val="1F3864" w:themeColor="accent1" w:themeShade="80"/>
      <w:sz w:val="56"/>
      <w:szCs w:val="56"/>
      <w:lang w:val="en-US" w:eastAsia="ja-JP"/>
    </w:rPr>
  </w:style>
  <w:style w:type="character" w:customStyle="1" w:styleId="Bold">
    <w:name w:val="Bold"/>
    <w:uiPriority w:val="1"/>
    <w:qFormat/>
    <w:rsid w:val="00E35FFF"/>
    <w:rPr>
      <w:b/>
      <w:bCs/>
    </w:rPr>
  </w:style>
  <w:style w:type="table" w:styleId="TableGrid">
    <w:name w:val="Table Grid"/>
    <w:basedOn w:val="TableNormal"/>
    <w:uiPriority w:val="39"/>
    <w:rsid w:val="00E3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://www.theglobalnowprojec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07D502-6C8D-4FA8-8261-891F274CFEF3}" type="doc">
      <dgm:prSet loTypeId="urn:microsoft.com/office/officeart/2005/8/layout/vList2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61248696-8A82-4B35-8AB0-3F785135C33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>
          <a:solidFill>
            <a:srgbClr val="00B0F0"/>
          </a:solidFill>
        </a:ln>
      </dgm:spPr>
      <dgm:t>
        <a:bodyPr/>
        <a:lstStyle/>
        <a:p>
          <a:pPr algn="ctr"/>
          <a:r>
            <a:rPr lang="en-US" sz="1600" b="0" i="0"/>
            <a:t>The University Faculties Database is a directory of psychology, psychiatry &amp; other mental-health-related research schools, faculties &amp; departments in universities throughout the world. The database maps the courses as well as research groups, councils, committees, centres, units, clinics &amp; laboratories utilised by these universities.</a:t>
          </a:r>
          <a:endParaRPr lang="en-US" sz="1600" b="0" i="0" dirty="0">
            <a:latin typeface="+mn-lt"/>
          </a:endParaRPr>
        </a:p>
      </dgm:t>
    </dgm:pt>
    <dgm:pt modelId="{38C95962-F512-4908-AC86-51519A8D6395}" type="sibTrans" cxnId="{D0836176-CE84-419C-B6F2-863FFC71ED51}">
      <dgm:prSet/>
      <dgm:spPr/>
      <dgm:t>
        <a:bodyPr/>
        <a:lstStyle/>
        <a:p>
          <a:endParaRPr lang="en-US"/>
        </a:p>
      </dgm:t>
    </dgm:pt>
    <dgm:pt modelId="{A241ED3B-A6E0-477D-9A11-7FC929523592}" type="parTrans" cxnId="{D0836176-CE84-419C-B6F2-863FFC71ED51}">
      <dgm:prSet/>
      <dgm:spPr/>
      <dgm:t>
        <a:bodyPr/>
        <a:lstStyle/>
        <a:p>
          <a:endParaRPr lang="en-US"/>
        </a:p>
      </dgm:t>
    </dgm:pt>
    <dgm:pt modelId="{9DE0EBC2-A604-4F14-9A44-84A0C76A8F24}" type="pres">
      <dgm:prSet presAssocID="{2707D502-6C8D-4FA8-8261-891F274CFEF3}" presName="linear" presStyleCnt="0">
        <dgm:presLayoutVars>
          <dgm:animLvl val="lvl"/>
          <dgm:resizeHandles val="exact"/>
        </dgm:presLayoutVars>
      </dgm:prSet>
      <dgm:spPr/>
    </dgm:pt>
    <dgm:pt modelId="{58778FB8-35D1-4B5D-9639-95DA89D2DF1E}" type="pres">
      <dgm:prSet presAssocID="{61248696-8A82-4B35-8AB0-3F785135C330}" presName="parentText" presStyleLbl="node1" presStyleIdx="0" presStyleCnt="1" custScaleY="477470" custLinFactNeighborY="-632">
        <dgm:presLayoutVars>
          <dgm:chMax val="0"/>
          <dgm:bulletEnabled val="1"/>
        </dgm:presLayoutVars>
      </dgm:prSet>
      <dgm:spPr>
        <a:prstGeom prst="snip2DiagRect">
          <a:avLst/>
        </a:prstGeom>
      </dgm:spPr>
    </dgm:pt>
  </dgm:ptLst>
  <dgm:cxnLst>
    <dgm:cxn modelId="{F825A110-9AE4-4E45-A3DA-F92DE1891444}" type="presOf" srcId="{2707D502-6C8D-4FA8-8261-891F274CFEF3}" destId="{9DE0EBC2-A604-4F14-9A44-84A0C76A8F24}" srcOrd="0" destOrd="0" presId="urn:microsoft.com/office/officeart/2005/8/layout/vList2"/>
    <dgm:cxn modelId="{D0836176-CE84-419C-B6F2-863FFC71ED51}" srcId="{2707D502-6C8D-4FA8-8261-891F274CFEF3}" destId="{61248696-8A82-4B35-8AB0-3F785135C330}" srcOrd="0" destOrd="0" parTransId="{A241ED3B-A6E0-477D-9A11-7FC929523592}" sibTransId="{38C95962-F512-4908-AC86-51519A8D6395}"/>
    <dgm:cxn modelId="{80F39D89-19E1-4375-A581-8DCA3C9EC1CE}" type="presOf" srcId="{61248696-8A82-4B35-8AB0-3F785135C330}" destId="{58778FB8-35D1-4B5D-9639-95DA89D2DF1E}" srcOrd="0" destOrd="0" presId="urn:microsoft.com/office/officeart/2005/8/layout/vList2"/>
    <dgm:cxn modelId="{B8DEBB91-6D39-401B-B675-9089A62D854E}" type="presParOf" srcId="{9DE0EBC2-A604-4F14-9A44-84A0C76A8F24}" destId="{58778FB8-35D1-4B5D-9639-95DA89D2DF1E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07D502-6C8D-4FA8-8261-891F274CFEF3}" type="doc">
      <dgm:prSet loTypeId="urn:microsoft.com/office/officeart/2005/8/layout/vList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61248696-8A82-4B35-8AB0-3F785135C33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>
          <a:solidFill>
            <a:srgbClr val="7030A0"/>
          </a:solidFill>
        </a:ln>
      </dgm:spPr>
      <dgm:t>
        <a:bodyPr/>
        <a:lstStyle/>
        <a:p>
          <a:pPr algn="ctr"/>
          <a:r>
            <a:rPr lang="en-US" sz="1600" b="0" i="0"/>
            <a:t>The University Faculties Database maps the activities of schools, facilities &amp; departments of universities from around the world. Going Global in a Generation means that this database can provide a framework for a situational analysis of mental health universities so that their engagement can be more transparent &amp; can work more cooperatively with one another.</a:t>
          </a:r>
          <a:endParaRPr lang="en-US" sz="1600" b="0" i="0" dirty="0">
            <a:latin typeface="+mn-lt"/>
          </a:endParaRPr>
        </a:p>
      </dgm:t>
    </dgm:pt>
    <dgm:pt modelId="{38C95962-F512-4908-AC86-51519A8D6395}" type="sibTrans" cxnId="{D0836176-CE84-419C-B6F2-863FFC71ED51}">
      <dgm:prSet/>
      <dgm:spPr/>
      <dgm:t>
        <a:bodyPr/>
        <a:lstStyle/>
        <a:p>
          <a:endParaRPr lang="en-US"/>
        </a:p>
      </dgm:t>
    </dgm:pt>
    <dgm:pt modelId="{A241ED3B-A6E0-477D-9A11-7FC929523592}" type="parTrans" cxnId="{D0836176-CE84-419C-B6F2-863FFC71ED51}">
      <dgm:prSet/>
      <dgm:spPr/>
      <dgm:t>
        <a:bodyPr/>
        <a:lstStyle/>
        <a:p>
          <a:endParaRPr lang="en-US"/>
        </a:p>
      </dgm:t>
    </dgm:pt>
    <dgm:pt modelId="{9DE0EBC2-A604-4F14-9A44-84A0C76A8F24}" type="pres">
      <dgm:prSet presAssocID="{2707D502-6C8D-4FA8-8261-891F274CFEF3}" presName="linear" presStyleCnt="0">
        <dgm:presLayoutVars>
          <dgm:animLvl val="lvl"/>
          <dgm:resizeHandles val="exact"/>
        </dgm:presLayoutVars>
      </dgm:prSet>
      <dgm:spPr/>
    </dgm:pt>
    <dgm:pt modelId="{58778FB8-35D1-4B5D-9639-95DA89D2DF1E}" type="pres">
      <dgm:prSet presAssocID="{61248696-8A82-4B35-8AB0-3F785135C330}" presName="parentText" presStyleLbl="node1" presStyleIdx="0" presStyleCnt="1" custLinFactNeighborY="-632">
        <dgm:presLayoutVars>
          <dgm:chMax val="0"/>
          <dgm:bulletEnabled val="1"/>
        </dgm:presLayoutVars>
      </dgm:prSet>
      <dgm:spPr>
        <a:prstGeom prst="snip2DiagRect">
          <a:avLst/>
        </a:prstGeom>
      </dgm:spPr>
    </dgm:pt>
  </dgm:ptLst>
  <dgm:cxnLst>
    <dgm:cxn modelId="{F825A110-9AE4-4E45-A3DA-F92DE1891444}" type="presOf" srcId="{2707D502-6C8D-4FA8-8261-891F274CFEF3}" destId="{9DE0EBC2-A604-4F14-9A44-84A0C76A8F24}" srcOrd="0" destOrd="0" presId="urn:microsoft.com/office/officeart/2005/8/layout/vList2"/>
    <dgm:cxn modelId="{D0836176-CE84-419C-B6F2-863FFC71ED51}" srcId="{2707D502-6C8D-4FA8-8261-891F274CFEF3}" destId="{61248696-8A82-4B35-8AB0-3F785135C330}" srcOrd="0" destOrd="0" parTransId="{A241ED3B-A6E0-477D-9A11-7FC929523592}" sibTransId="{38C95962-F512-4908-AC86-51519A8D6395}"/>
    <dgm:cxn modelId="{80F39D89-19E1-4375-A581-8DCA3C9EC1CE}" type="presOf" srcId="{61248696-8A82-4B35-8AB0-3F785135C330}" destId="{58778FB8-35D1-4B5D-9639-95DA89D2DF1E}" srcOrd="0" destOrd="0" presId="urn:microsoft.com/office/officeart/2005/8/layout/vList2"/>
    <dgm:cxn modelId="{B8DEBB91-6D39-401B-B675-9089A62D854E}" type="presParOf" srcId="{9DE0EBC2-A604-4F14-9A44-84A0C76A8F24}" destId="{58778FB8-35D1-4B5D-9639-95DA89D2DF1E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778FB8-35D1-4B5D-9639-95DA89D2DF1E}">
      <dsp:nvSpPr>
        <dsp:cNvPr id="0" name=""/>
        <dsp:cNvSpPr/>
      </dsp:nvSpPr>
      <dsp:spPr>
        <a:xfrm>
          <a:off x="0" y="0"/>
          <a:ext cx="6870700" cy="1505383"/>
        </a:xfrm>
        <a:prstGeom prst="snip2DiagRect">
          <a:avLst/>
        </a:prstGeom>
        <a:solidFill>
          <a:schemeClr val="lt1"/>
        </a:solidFill>
        <a:ln w="19050" cap="flat" cmpd="sng" algn="ctr">
          <a:solidFill>
            <a:srgbClr val="00B0F0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0" i="0" kern="1200"/>
            <a:t>The University Faculties Database is a directory of psychology, psychiatry &amp; other mental-health-related research schools, faculties &amp; departments in universities throughout the world. The database maps the courses as well as research groups, councils, committees, centres, units, clinics &amp; laboratories utilised by these universities.</a:t>
          </a:r>
          <a:endParaRPr lang="en-US" sz="1600" b="0" i="0" kern="1200" dirty="0">
            <a:latin typeface="+mn-lt"/>
          </a:endParaRPr>
        </a:p>
      </dsp:txBody>
      <dsp:txXfrm>
        <a:off x="125451" y="125451"/>
        <a:ext cx="6619798" cy="12544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778FB8-35D1-4B5D-9639-95DA89D2DF1E}">
      <dsp:nvSpPr>
        <dsp:cNvPr id="0" name=""/>
        <dsp:cNvSpPr/>
      </dsp:nvSpPr>
      <dsp:spPr>
        <a:xfrm>
          <a:off x="0" y="0"/>
          <a:ext cx="7029450" cy="1325025"/>
        </a:xfrm>
        <a:prstGeom prst="snip2DiagRect">
          <a:avLst/>
        </a:prstGeom>
        <a:solidFill>
          <a:schemeClr val="lt1"/>
        </a:solidFill>
        <a:ln w="190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0" i="0" kern="1200"/>
            <a:t>The University Faculties Database maps the activities of schools, facilities &amp; departments of universities from around the world. Going Global in a Generation means that this database can provide a framework for a situational analysis of mental health universities so that their engagement can be more transparent &amp; can work more cooperatively with one another.</a:t>
          </a:r>
          <a:endParaRPr lang="en-US" sz="1600" b="0" i="0" kern="1200" dirty="0">
            <a:latin typeface="+mn-lt"/>
          </a:endParaRPr>
        </a:p>
      </dsp:txBody>
      <dsp:txXfrm>
        <a:off x="110421" y="110421"/>
        <a:ext cx="6808608" cy="11041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A0C4-E659-4B38-BC85-65A012C2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5</cp:revision>
  <dcterms:created xsi:type="dcterms:W3CDTF">2021-11-21T10:10:00Z</dcterms:created>
  <dcterms:modified xsi:type="dcterms:W3CDTF">2022-01-03T09:52:00Z</dcterms:modified>
</cp:coreProperties>
</file>